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7" w:rsidRPr="005D6CE2" w:rsidRDefault="00E55CD7" w:rsidP="00E55CD7">
      <w:pPr>
        <w:rPr>
          <w:rFonts w:ascii="Arial" w:hAnsi="Arial" w:cs="Arial"/>
        </w:rPr>
      </w:pPr>
      <w:r w:rsidRPr="005D6CE2">
        <w:rPr>
          <w:rFonts w:ascii="Arial" w:hAnsi="Arial" w:cs="Arial"/>
        </w:rPr>
        <w:t>Podaci vezani uz oglas za prijam u službu u Jedinstveni upravni odjel Općine Klana na određeno vrijeme na radno mjesto:</w:t>
      </w:r>
    </w:p>
    <w:p w:rsidR="00E55CD7" w:rsidRPr="005D6CE2" w:rsidRDefault="00E55CD7" w:rsidP="00E55CD7">
      <w:pPr>
        <w:rPr>
          <w:rFonts w:ascii="Arial" w:hAnsi="Arial" w:cs="Arial"/>
          <w:b/>
        </w:rPr>
      </w:pPr>
    </w:p>
    <w:p w:rsidR="00E55CD7" w:rsidRPr="005D6CE2" w:rsidRDefault="00775413" w:rsidP="00E55C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suradnik/</w:t>
      </w:r>
      <w:r w:rsidR="00E55CD7" w:rsidRPr="005D6CE2">
        <w:rPr>
          <w:rFonts w:ascii="Arial" w:hAnsi="Arial" w:cs="Arial"/>
          <w:b/>
        </w:rPr>
        <w:t>viša stručna suradnica –Administrator projekta - 1 izvršitelj</w:t>
      </w:r>
    </w:p>
    <w:p w:rsidR="00E55CD7" w:rsidRPr="005D6CE2" w:rsidRDefault="00E55CD7" w:rsidP="00E55CD7">
      <w:pPr>
        <w:rPr>
          <w:rFonts w:ascii="Arial" w:hAnsi="Arial" w:cs="Arial"/>
          <w:b/>
        </w:rPr>
      </w:pPr>
    </w:p>
    <w:p w:rsidR="00E55CD7" w:rsidRPr="005D6CE2" w:rsidRDefault="00E55CD7" w:rsidP="00E55CD7">
      <w:pPr>
        <w:rPr>
          <w:rFonts w:ascii="Arial" w:hAnsi="Arial" w:cs="Arial"/>
        </w:rPr>
      </w:pPr>
      <w:r w:rsidRPr="005D6CE2">
        <w:rPr>
          <w:rFonts w:ascii="Arial" w:hAnsi="Arial" w:cs="Arial"/>
        </w:rPr>
        <w:t>Natječaj je objavljen na internetskoj stranici Hrvatskog zavoda za zapošljavanje od 21. lipnja 2019. godine</w:t>
      </w:r>
    </w:p>
    <w:p w:rsidR="00E55CD7" w:rsidRPr="005D6CE2" w:rsidRDefault="00E55CD7" w:rsidP="00E55CD7">
      <w:pPr>
        <w:rPr>
          <w:rFonts w:ascii="Arial" w:hAnsi="Arial" w:cs="Arial"/>
        </w:rPr>
      </w:pPr>
    </w:p>
    <w:p w:rsidR="00E55CD7" w:rsidRPr="005D6CE2" w:rsidRDefault="00E55CD7" w:rsidP="00E55CD7">
      <w:pPr>
        <w:rPr>
          <w:rFonts w:ascii="Arial" w:hAnsi="Arial" w:cs="Arial"/>
          <w:b/>
          <w:bCs/>
        </w:rPr>
      </w:pPr>
      <w:r w:rsidRPr="005D6CE2">
        <w:rPr>
          <w:rFonts w:ascii="Arial" w:hAnsi="Arial" w:cs="Arial"/>
          <w:b/>
          <w:bCs/>
        </w:rPr>
        <w:t>Opis poslova: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100" w:after="10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aktivnosti povezivanja ključnih dionika EU</w:t>
      </w:r>
      <w:r w:rsidRPr="005D6CE2">
        <w:rPr>
          <w:rFonts w:ascii="Arial" w:hAnsi="Arial" w:cs="Arial"/>
          <w:spacing w:val="-8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projekta;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100" w:after="10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provođenje i upravljanje projektnim aktivnostima koje imaju za cilj ostvarenje rezultata i ciljeva EU</w:t>
      </w:r>
      <w:r w:rsidRPr="005D6CE2">
        <w:rPr>
          <w:rFonts w:ascii="Arial" w:hAnsi="Arial" w:cs="Arial"/>
          <w:spacing w:val="-1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projekta;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100" w:after="10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aktivnosti financijskog upravljanja EU</w:t>
      </w:r>
      <w:r w:rsidRPr="005D6CE2">
        <w:rPr>
          <w:rFonts w:ascii="Arial" w:hAnsi="Arial" w:cs="Arial"/>
          <w:spacing w:val="-6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projektom;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100" w:after="10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aktivnosti redovnog izvještavanja te sudjelovanje u administrativnim i logističkim</w:t>
      </w:r>
      <w:r w:rsidRPr="005D6CE2">
        <w:rPr>
          <w:rFonts w:ascii="Arial" w:hAnsi="Arial" w:cs="Arial"/>
          <w:spacing w:val="-24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poslovima;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100" w:after="10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obavljanje poslova po nalogu nadređenog;</w:t>
      </w:r>
    </w:p>
    <w:p w:rsidR="00E55CD7" w:rsidRPr="005D6CE2" w:rsidRDefault="00E55CD7" w:rsidP="00E55CD7">
      <w:pPr>
        <w:rPr>
          <w:rFonts w:ascii="Arial" w:hAnsi="Arial" w:cs="Arial"/>
        </w:rPr>
      </w:pPr>
    </w:p>
    <w:p w:rsidR="00E55CD7" w:rsidRPr="00E55CD7" w:rsidRDefault="00E55CD7" w:rsidP="00E55CD7">
      <w:pPr>
        <w:rPr>
          <w:rFonts w:ascii="Arial" w:hAnsi="Arial" w:cs="Arial"/>
          <w:b/>
          <w:bCs/>
        </w:rPr>
      </w:pPr>
      <w:r w:rsidRPr="00E55CD7">
        <w:rPr>
          <w:rFonts w:ascii="Arial" w:hAnsi="Arial" w:cs="Arial"/>
          <w:b/>
          <w:bCs/>
        </w:rPr>
        <w:t>Provjera znanja i sposobnosti:</w:t>
      </w:r>
    </w:p>
    <w:p w:rsidR="00E55CD7" w:rsidRPr="005D6CE2" w:rsidRDefault="00E55CD7" w:rsidP="00E55CD7">
      <w:pPr>
        <w:rPr>
          <w:rFonts w:ascii="Arial" w:hAnsi="Arial" w:cs="Arial"/>
        </w:rPr>
      </w:pPr>
    </w:p>
    <w:p w:rsidR="00E55CD7" w:rsidRPr="005D6CE2" w:rsidRDefault="00E55CD7" w:rsidP="00E55CD7">
      <w:pPr>
        <w:rPr>
          <w:rFonts w:ascii="Arial" w:hAnsi="Arial" w:cs="Arial"/>
        </w:rPr>
      </w:pPr>
      <w:r w:rsidRPr="005D6CE2">
        <w:rPr>
          <w:rFonts w:ascii="Arial" w:hAnsi="Arial" w:cs="Arial"/>
        </w:rPr>
        <w:t>Obuhvaća pisano testiranje i intervju.</w:t>
      </w:r>
    </w:p>
    <w:p w:rsidR="00E55CD7" w:rsidRPr="005D6CE2" w:rsidRDefault="00E55CD7" w:rsidP="00E55CD7">
      <w:pPr>
        <w:rPr>
          <w:rFonts w:ascii="Arial" w:hAnsi="Arial" w:cs="Arial"/>
        </w:rPr>
      </w:pPr>
    </w:p>
    <w:p w:rsidR="00E55CD7" w:rsidRPr="005D6CE2" w:rsidRDefault="00E55CD7" w:rsidP="00E55CD7">
      <w:pPr>
        <w:jc w:val="both"/>
        <w:rPr>
          <w:rFonts w:ascii="Arial" w:hAnsi="Arial" w:cs="Arial"/>
        </w:rPr>
      </w:pPr>
      <w:r w:rsidRPr="005D6CE2">
        <w:rPr>
          <w:rFonts w:ascii="Arial" w:hAnsi="Arial" w:cs="Arial"/>
        </w:rPr>
        <w:t xml:space="preserve">Najmanje pet dana prije održavanja testiranja objavit će se putem internet stranice Općine Klana vrijeme održavanja testiranja. Kandidati koji ispunjavaju formalne uvjete iz oglasa biti će pozvani na pisano testiranje i intervju. Na istoj internet stranici objavit će se vrijeme održavanja intervjua a intervju se provodi samo s kandidatima koji su ostvarili najmanje 50% bodova iz svakog dijela provjere znanja i sposobnosti kandidata na provedenom testiranju. </w:t>
      </w:r>
    </w:p>
    <w:p w:rsidR="00E55CD7" w:rsidRPr="005D6CE2" w:rsidRDefault="00E55CD7" w:rsidP="00E55CD7">
      <w:pPr>
        <w:jc w:val="both"/>
        <w:rPr>
          <w:rFonts w:ascii="Arial" w:hAnsi="Arial" w:cs="Arial"/>
          <w:b/>
        </w:rPr>
      </w:pPr>
      <w:r w:rsidRPr="005D6CE2">
        <w:rPr>
          <w:rFonts w:ascii="Arial" w:hAnsi="Arial" w:cs="Arial"/>
        </w:rPr>
        <w:t xml:space="preserve">Područje pisanog testiranja obuhvaća </w:t>
      </w:r>
      <w:r w:rsidRPr="005D6CE2">
        <w:rPr>
          <w:rFonts w:ascii="Arial" w:hAnsi="Arial" w:cs="Arial"/>
          <w:b/>
        </w:rPr>
        <w:t>područje lokalne i područne (regionalne) samouprave i područje EU projekta.</w:t>
      </w:r>
    </w:p>
    <w:p w:rsidR="00E55CD7" w:rsidRPr="005D6CE2" w:rsidRDefault="00E55CD7" w:rsidP="00E55CD7">
      <w:pPr>
        <w:rPr>
          <w:rFonts w:ascii="Arial" w:hAnsi="Arial" w:cs="Arial"/>
          <w:b/>
        </w:rPr>
      </w:pPr>
    </w:p>
    <w:p w:rsidR="00E55CD7" w:rsidRPr="00E55CD7" w:rsidRDefault="00E55CD7" w:rsidP="00E55CD7">
      <w:pPr>
        <w:rPr>
          <w:rFonts w:ascii="Arial" w:hAnsi="Arial" w:cs="Arial"/>
          <w:b/>
          <w:bCs/>
        </w:rPr>
      </w:pPr>
      <w:r w:rsidRPr="00E55CD7">
        <w:rPr>
          <w:rFonts w:ascii="Arial" w:hAnsi="Arial" w:cs="Arial"/>
          <w:b/>
          <w:bCs/>
        </w:rPr>
        <w:t>Pravni i drugi izvori provjere znanja:</w:t>
      </w:r>
    </w:p>
    <w:p w:rsidR="00E55CD7" w:rsidRPr="005D6CE2" w:rsidRDefault="00E55CD7" w:rsidP="00E55CD7">
      <w:pPr>
        <w:pStyle w:val="Style1"/>
        <w:numPr>
          <w:ilvl w:val="0"/>
          <w:numId w:val="10"/>
        </w:numPr>
        <w:spacing w:before="80" w:after="8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Zakon o lokalnoj i područnoj (regionalnoj) samoupravi („Narodne novine“ broj 33/01, 60/01, 129/05, 109/07, 125/08, 36/09, 36/09, 150/11, 144/12, 19/13, 137/15 i</w:t>
      </w:r>
      <w:r w:rsidRPr="005D6CE2">
        <w:rPr>
          <w:rFonts w:ascii="Arial" w:hAnsi="Arial" w:cs="Arial"/>
          <w:spacing w:val="-5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123/17)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80" w:after="8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Zakon o službenicima i namještenicima u lokalnoj i područnoj (regionalnoj) samoupravi (Narodne novine br. 86/08, 61/11 i</w:t>
      </w:r>
      <w:r w:rsidRPr="005D6CE2">
        <w:rPr>
          <w:rFonts w:ascii="Arial" w:hAnsi="Arial" w:cs="Arial"/>
          <w:spacing w:val="-7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04/18)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80" w:after="8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Uredba o uredskom poslovanju („Narodne novine“</w:t>
      </w:r>
      <w:r w:rsidRPr="005D6CE2">
        <w:rPr>
          <w:rFonts w:ascii="Arial" w:hAnsi="Arial" w:cs="Arial"/>
          <w:spacing w:val="-5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07/09)</w:t>
      </w:r>
    </w:p>
    <w:p w:rsidR="00E55CD7" w:rsidRPr="005D6CE2" w:rsidRDefault="00E55CD7" w:rsidP="00E55CD7">
      <w:pPr>
        <w:pStyle w:val="Style1"/>
        <w:tabs>
          <w:tab w:val="clear" w:pos="360"/>
        </w:tabs>
        <w:spacing w:before="80" w:after="8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Statut Općine Klana („Službene novine Općine Klana“ broj</w:t>
      </w:r>
      <w:r w:rsidRPr="005D6CE2">
        <w:rPr>
          <w:rFonts w:ascii="Arial" w:hAnsi="Arial" w:cs="Arial"/>
          <w:spacing w:val="-8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30/18)</w:t>
      </w:r>
    </w:p>
    <w:p w:rsidR="00E55CD7" w:rsidRDefault="00E55CD7" w:rsidP="00E55CD7">
      <w:pPr>
        <w:pStyle w:val="Style1"/>
        <w:tabs>
          <w:tab w:val="clear" w:pos="360"/>
        </w:tabs>
        <w:spacing w:before="80" w:after="80"/>
        <w:ind w:left="284" w:hanging="284"/>
        <w:rPr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Opći uvjeti koji se primjenjuju na projekte financirane iz europskih strukturnih i investicijskih fondova u financijskom razdoblju 2014-2020</w:t>
      </w:r>
      <w:r w:rsidRPr="005D6CE2">
        <w:rPr>
          <w:rFonts w:ascii="Arial" w:hAnsi="Arial" w:cs="Arial"/>
          <w:color w:val="0000FF"/>
          <w:sz w:val="22"/>
        </w:rPr>
        <w:t xml:space="preserve"> </w:t>
      </w:r>
    </w:p>
    <w:p w:rsidR="00E55CD7" w:rsidRPr="00E55CD7" w:rsidRDefault="00C0442F" w:rsidP="00E55CD7">
      <w:pPr>
        <w:pStyle w:val="Style1"/>
        <w:numPr>
          <w:ilvl w:val="0"/>
          <w:numId w:val="0"/>
        </w:numPr>
        <w:spacing w:before="80" w:after="80"/>
        <w:ind w:left="284"/>
        <w:rPr>
          <w:rFonts w:ascii="Arial" w:hAnsi="Arial" w:cs="Arial"/>
          <w:sz w:val="22"/>
        </w:rPr>
      </w:pPr>
      <w:hyperlink r:id="rId7" w:history="1">
        <w:r w:rsidR="00E55CD7" w:rsidRPr="00AC7F6B">
          <w:rPr>
            <w:rStyle w:val="Hiperveza"/>
            <w:rFonts w:ascii="Arial" w:hAnsi="Arial" w:cs="Arial"/>
            <w:sz w:val="22"/>
          </w:rPr>
          <w:t>https://strukturnifondovi.hr/wp-</w:t>
        </w:r>
      </w:hyperlink>
      <w:hyperlink r:id="rId8">
        <w:r w:rsidR="00E55CD7" w:rsidRPr="00E55CD7">
          <w:rPr>
            <w:rFonts w:ascii="Arial" w:hAnsi="Arial" w:cs="Arial"/>
            <w:color w:val="0000FF"/>
            <w:sz w:val="22"/>
            <w:u w:val="single" w:color="0000FF"/>
          </w:rPr>
          <w:t xml:space="preserve"> </w:t>
        </w:r>
        <w:proofErr w:type="spellStart"/>
        <w:r w:rsidR="00E55CD7" w:rsidRPr="00E55CD7">
          <w:rPr>
            <w:rFonts w:ascii="Arial" w:hAnsi="Arial" w:cs="Arial"/>
            <w:color w:val="0000FF"/>
            <w:sz w:val="22"/>
            <w:u w:val="single" w:color="0000FF"/>
          </w:rPr>
          <w:t>content</w:t>
        </w:r>
        <w:proofErr w:type="spellEnd"/>
        <w:r w:rsidR="00E55CD7" w:rsidRPr="00E55CD7">
          <w:rPr>
            <w:rFonts w:ascii="Arial" w:hAnsi="Arial" w:cs="Arial"/>
            <w:color w:val="0000FF"/>
            <w:sz w:val="22"/>
            <w:u w:val="single" w:color="0000FF"/>
          </w:rPr>
          <w:t>/</w:t>
        </w:r>
        <w:proofErr w:type="spellStart"/>
        <w:r w:rsidR="00E55CD7" w:rsidRPr="00E55CD7">
          <w:rPr>
            <w:rFonts w:ascii="Arial" w:hAnsi="Arial" w:cs="Arial"/>
            <w:color w:val="0000FF"/>
            <w:sz w:val="22"/>
            <w:u w:val="single" w:color="0000FF"/>
          </w:rPr>
          <w:t>uploads</w:t>
        </w:r>
        <w:proofErr w:type="spellEnd"/>
        <w:r w:rsidR="00E55CD7" w:rsidRPr="00E55CD7">
          <w:rPr>
            <w:rFonts w:ascii="Arial" w:hAnsi="Arial" w:cs="Arial"/>
            <w:color w:val="0000FF"/>
            <w:sz w:val="22"/>
            <w:u w:val="single" w:color="0000FF"/>
          </w:rPr>
          <w:t>/2017/03/Prilog-1_-Opći-</w:t>
        </w:r>
        <w:proofErr w:type="spellStart"/>
        <w:r w:rsidR="00E55CD7" w:rsidRPr="00E55CD7">
          <w:rPr>
            <w:rFonts w:ascii="Arial" w:hAnsi="Arial" w:cs="Arial"/>
            <w:color w:val="0000FF"/>
            <w:sz w:val="22"/>
            <w:u w:val="single" w:color="0000FF"/>
          </w:rPr>
          <w:t>uvjeti.docx</w:t>
        </w:r>
        <w:proofErr w:type="spellEnd"/>
      </w:hyperlink>
    </w:p>
    <w:p w:rsidR="00E55CD7" w:rsidRPr="007D3D2E" w:rsidRDefault="00E55CD7" w:rsidP="00E55CD7">
      <w:pPr>
        <w:pStyle w:val="Style1"/>
        <w:tabs>
          <w:tab w:val="clear" w:pos="360"/>
        </w:tabs>
        <w:spacing w:before="80" w:after="80"/>
        <w:ind w:left="284" w:hanging="284"/>
        <w:rPr>
          <w:rStyle w:val="Hiperveza"/>
          <w:rFonts w:ascii="Arial" w:hAnsi="Arial" w:cs="Arial"/>
          <w:sz w:val="22"/>
        </w:rPr>
      </w:pPr>
      <w:r w:rsidRPr="005D6CE2">
        <w:rPr>
          <w:rFonts w:ascii="Arial" w:hAnsi="Arial" w:cs="Arial"/>
          <w:sz w:val="22"/>
        </w:rPr>
        <w:t>Upute za korisnike sredstava vezano uz informiranje, komunikaciju i vidljivost projekata financiranih u okviru Europskog fonda za regionalni razvoj (EFRR), Europskog socijalnog fonda (ESF) i Kohezijskog fonda (KF) za razdoblje</w:t>
      </w:r>
      <w:r w:rsidRPr="005D6CE2">
        <w:rPr>
          <w:rFonts w:ascii="Arial" w:hAnsi="Arial" w:cs="Arial"/>
          <w:spacing w:val="-8"/>
          <w:sz w:val="22"/>
        </w:rPr>
        <w:t xml:space="preserve"> </w:t>
      </w:r>
      <w:r w:rsidRPr="005D6CE2">
        <w:rPr>
          <w:rFonts w:ascii="Arial" w:hAnsi="Arial" w:cs="Arial"/>
          <w:sz w:val="22"/>
        </w:rPr>
        <w:t>2014.-2020</w:t>
      </w:r>
      <w:r w:rsidR="00C0442F">
        <w:rPr>
          <w:rFonts w:ascii="Arial" w:hAnsi="Arial" w:cs="Arial"/>
          <w:sz w:val="22"/>
        </w:rPr>
        <w:fldChar w:fldCharType="begin"/>
      </w:r>
      <w:r w:rsidR="007D3D2E">
        <w:rPr>
          <w:rFonts w:ascii="Arial" w:hAnsi="Arial" w:cs="Arial"/>
          <w:sz w:val="22"/>
        </w:rPr>
        <w:instrText xml:space="preserve"> HYPERLINK "https://strukturnifondovi.hr/wp-content/uploads/2017/03/Upute-za-korisnike-zadnja-verzija.pdf" </w:instrText>
      </w:r>
      <w:r w:rsidR="00C0442F">
        <w:rPr>
          <w:rFonts w:ascii="Arial" w:hAnsi="Arial" w:cs="Arial"/>
          <w:sz w:val="22"/>
        </w:rPr>
        <w:fldChar w:fldCharType="separate"/>
      </w:r>
      <w:r w:rsidRPr="007D3D2E">
        <w:rPr>
          <w:rStyle w:val="Hiperveza"/>
          <w:rFonts w:ascii="Arial" w:hAnsi="Arial" w:cs="Arial"/>
          <w:sz w:val="22"/>
        </w:rPr>
        <w:t>. https://strukturnifondovi.hr/wp-content/uploads/2017/03/Upute-za-korisnike-zadnja-</w:t>
      </w:r>
      <w:bookmarkStart w:id="1" w:name="_GoBack"/>
      <w:bookmarkEnd w:id="1"/>
      <w:r w:rsidRPr="007D3D2E">
        <w:rPr>
          <w:rStyle w:val="Hiperveza"/>
          <w:rFonts w:ascii="Arial" w:hAnsi="Arial" w:cs="Arial"/>
          <w:sz w:val="22"/>
        </w:rPr>
        <w:t>verzija.pdf</w:t>
      </w:r>
    </w:p>
    <w:p w:rsidR="00BF0FCF" w:rsidRPr="00E55CD7" w:rsidRDefault="00C0442F" w:rsidP="00E55CD7">
      <w:pPr>
        <w:pStyle w:val="Style1"/>
        <w:tabs>
          <w:tab w:val="clear" w:pos="360"/>
        </w:tabs>
        <w:spacing w:before="80" w:after="8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r w:rsidR="00E55CD7" w:rsidRPr="005D6CE2">
        <w:rPr>
          <w:rFonts w:ascii="Arial" w:hAnsi="Arial" w:cs="Arial"/>
          <w:sz w:val="22"/>
        </w:rPr>
        <w:t>Operativni program učinkoviti ljudski potencijali</w:t>
      </w:r>
      <w:r w:rsidR="00E55CD7" w:rsidRPr="005D6CE2">
        <w:rPr>
          <w:rFonts w:ascii="Arial" w:hAnsi="Arial" w:cs="Arial"/>
          <w:color w:val="0000FF"/>
          <w:spacing w:val="-7"/>
          <w:sz w:val="22"/>
        </w:rPr>
        <w:t xml:space="preserve"> </w:t>
      </w:r>
      <w:hyperlink r:id="rId9" w:history="1">
        <w:r w:rsidR="00E55CD7" w:rsidRPr="005D6CE2">
          <w:rPr>
            <w:rStyle w:val="Hiperveza"/>
            <w:rFonts w:ascii="Arial" w:hAnsi="Arial" w:cs="Arial"/>
            <w:spacing w:val="-7"/>
            <w:sz w:val="22"/>
          </w:rPr>
          <w:t>http://www.esf.hr/operativni-program/</w:t>
        </w:r>
      </w:hyperlink>
    </w:p>
    <w:sectPr w:rsidR="00BF0FCF" w:rsidRPr="00E55CD7" w:rsidSect="000916FF">
      <w:headerReference w:type="default" r:id="rId10"/>
      <w:footerReference w:type="default" r:id="rId11"/>
      <w:pgSz w:w="11910" w:h="16840" w:code="9"/>
      <w:pgMar w:top="1418" w:right="1134" w:bottom="1701" w:left="1134" w:header="34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26" w:rsidRDefault="005D4926" w:rsidP="00623CE9">
      <w:r>
        <w:separator/>
      </w:r>
    </w:p>
  </w:endnote>
  <w:endnote w:type="continuationSeparator" w:id="0">
    <w:p w:rsidR="005D4926" w:rsidRDefault="005D4926" w:rsidP="0062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92"/>
      <w:gridCol w:w="2066"/>
    </w:tblGrid>
    <w:tr w:rsidR="00062499" w:rsidTr="00062499">
      <w:trPr>
        <w:jc w:val="center"/>
      </w:trPr>
      <w:tc>
        <w:tcPr>
          <w:tcW w:w="7308" w:type="dxa"/>
        </w:tcPr>
        <w:p w:rsidR="00062499" w:rsidRDefault="00062499" w:rsidP="00062499">
          <w:pPr>
            <w:rPr>
              <w:rFonts w:ascii="Arial" w:hAnsi="Arial" w:cs="Arial"/>
              <w:noProof/>
              <w:sz w:val="20"/>
              <w:szCs w:val="20"/>
              <w:lang w:eastAsia="hr-H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133475" cy="847725"/>
                <wp:effectExtent l="0" t="0" r="9525" b="0"/>
                <wp:docPr id="101" name="Slika 1" descr="C:\Users\jfabac\AppData\Local\Microsoft\Windows\Temporary Internet Files\Content.Outlook\NLQI5IOS\logo-ruke-pomaz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jfabac\AppData\Local\Microsoft\Windows\Temporary Internet Files\Content.Outlook\NLQI5IOS\logo-ruke-pomaz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8" w:type="dxa"/>
          <w:vAlign w:val="center"/>
        </w:tcPr>
        <w:p w:rsidR="00062499" w:rsidRPr="00062499" w:rsidRDefault="00062499" w:rsidP="00062499">
          <w:pPr>
            <w:jc w:val="center"/>
            <w:rPr>
              <w:rFonts w:ascii="Arial" w:hAnsi="Arial" w:cs="Arial"/>
              <w:b/>
              <w:bCs/>
              <w:noProof/>
              <w:lang w:eastAsia="hr-HR"/>
            </w:rPr>
          </w:pPr>
          <w:r w:rsidRPr="00062499">
            <w:rPr>
              <w:rFonts w:ascii="Arial" w:hAnsi="Arial" w:cs="Arial"/>
              <w:b/>
              <w:bCs/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-661670</wp:posOffset>
                </wp:positionV>
                <wp:extent cx="520560" cy="657720"/>
                <wp:effectExtent l="0" t="0" r="0" b="0"/>
                <wp:wrapTopAndBottom/>
                <wp:docPr id="102" name="Slik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560" cy="65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62499">
            <w:rPr>
              <w:rFonts w:ascii="Arial" w:hAnsi="Arial" w:cs="Arial"/>
              <w:b/>
              <w:bCs/>
              <w:noProof/>
              <w:sz w:val="20"/>
              <w:szCs w:val="20"/>
              <w:lang w:eastAsia="hr-HR"/>
            </w:rPr>
            <w:t>OPĆINA KLANA</w:t>
          </w:r>
        </w:p>
      </w:tc>
    </w:tr>
  </w:tbl>
  <w:p w:rsidR="00062499" w:rsidRDefault="0006249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26" w:rsidRDefault="005D4926" w:rsidP="00623CE9">
      <w:bookmarkStart w:id="0" w:name="_Hlk11966856"/>
      <w:bookmarkEnd w:id="0"/>
      <w:r>
        <w:separator/>
      </w:r>
    </w:p>
  </w:footnote>
  <w:footnote w:type="continuationSeparator" w:id="0">
    <w:p w:rsidR="005D4926" w:rsidRDefault="005D4926" w:rsidP="0062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17"/>
      <w:gridCol w:w="5341"/>
    </w:tblGrid>
    <w:tr w:rsidR="000916FF" w:rsidTr="00386894">
      <w:trPr>
        <w:jc w:val="center"/>
      </w:trPr>
      <w:tc>
        <w:tcPr>
          <w:tcW w:w="4623" w:type="dxa"/>
          <w:vAlign w:val="center"/>
        </w:tcPr>
        <w:p w:rsidR="000916FF" w:rsidRDefault="000916FF" w:rsidP="000916FF">
          <w:pPr>
            <w:pStyle w:val="Zaglavlje"/>
          </w:pPr>
          <w:r>
            <w:rPr>
              <w:rFonts w:ascii="Arial" w:hAnsi="Arial" w:cs="Arial"/>
              <w:noProof/>
              <w:color w:val="333333"/>
              <w:sz w:val="20"/>
              <w:szCs w:val="20"/>
              <w:shd w:val="clear" w:color="auto" w:fill="FFFFFF"/>
              <w:lang w:eastAsia="hr-HR"/>
            </w:rPr>
            <w:drawing>
              <wp:inline distT="0" distB="0" distL="0" distR="0">
                <wp:extent cx="1435608" cy="804672"/>
                <wp:effectExtent l="0" t="0" r="0" b="0"/>
                <wp:docPr id="99" name="Sli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608" cy="80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0916FF" w:rsidRDefault="000916FF" w:rsidP="000916FF">
          <w:pPr>
            <w:pStyle w:val="Zaglavlje"/>
            <w:jc w:val="center"/>
          </w:pPr>
          <w:r>
            <w:rPr>
              <w:rFonts w:ascii="Arial" w:hAnsi="Arial" w:cs="Arial"/>
              <w:noProof/>
              <w:color w:val="333333"/>
              <w:sz w:val="20"/>
              <w:szCs w:val="20"/>
              <w:shd w:val="clear" w:color="auto" w:fill="FFFFFF"/>
              <w:lang w:eastAsia="hr-HR"/>
            </w:rPr>
            <w:drawing>
              <wp:inline distT="0" distB="0" distL="0" distR="0">
                <wp:extent cx="3254375" cy="1177043"/>
                <wp:effectExtent l="0" t="0" r="0" b="0"/>
                <wp:docPr id="100" name="Sli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l="6322" t="4954" r="7088" b="6962"/>
                        <a:stretch/>
                      </pic:blipFill>
                      <pic:spPr bwMode="auto">
                        <a:xfrm>
                          <a:off x="0" y="0"/>
                          <a:ext cx="3255264" cy="11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23CE9" w:rsidRDefault="00623CE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804"/>
    <w:multiLevelType w:val="hybridMultilevel"/>
    <w:tmpl w:val="6E120CF2"/>
    <w:lvl w:ilvl="0" w:tplc="F3580B56">
      <w:start w:val="12"/>
      <w:numFmt w:val="decimal"/>
      <w:lvlText w:val="%1."/>
      <w:lvlJc w:val="left"/>
      <w:pPr>
        <w:ind w:left="128" w:hanging="335"/>
        <w:jc w:val="left"/>
      </w:pPr>
      <w:rPr>
        <w:rFonts w:ascii="Calibri" w:eastAsia="Calibri" w:hAnsi="Calibri" w:cs="Calibri" w:hint="default"/>
        <w:color w:val="0F0F0F"/>
        <w:spacing w:val="-17"/>
        <w:w w:val="100"/>
        <w:sz w:val="23"/>
        <w:szCs w:val="23"/>
      </w:rPr>
    </w:lvl>
    <w:lvl w:ilvl="1" w:tplc="6396F8FC">
      <w:numFmt w:val="bullet"/>
      <w:lvlText w:val="•"/>
      <w:lvlJc w:val="left"/>
      <w:pPr>
        <w:ind w:left="1530" w:hanging="343"/>
      </w:pPr>
      <w:rPr>
        <w:rFonts w:ascii="Calibri" w:eastAsia="Calibri" w:hAnsi="Calibri" w:cs="Calibri" w:hint="default"/>
        <w:color w:val="0D0D0D"/>
        <w:spacing w:val="-3"/>
        <w:w w:val="100"/>
        <w:sz w:val="23"/>
        <w:szCs w:val="23"/>
      </w:rPr>
    </w:lvl>
    <w:lvl w:ilvl="2" w:tplc="6F50E31A">
      <w:numFmt w:val="bullet"/>
      <w:lvlText w:val="•"/>
      <w:lvlJc w:val="left"/>
      <w:pPr>
        <w:ind w:left="1660" w:hanging="343"/>
      </w:pPr>
      <w:rPr>
        <w:rFonts w:hint="default"/>
      </w:rPr>
    </w:lvl>
    <w:lvl w:ilvl="3" w:tplc="1DC0C18A">
      <w:numFmt w:val="bullet"/>
      <w:lvlText w:val="•"/>
      <w:lvlJc w:val="left"/>
      <w:pPr>
        <w:ind w:left="2578" w:hanging="343"/>
      </w:pPr>
      <w:rPr>
        <w:rFonts w:hint="default"/>
      </w:rPr>
    </w:lvl>
    <w:lvl w:ilvl="4" w:tplc="41863EDA">
      <w:numFmt w:val="bullet"/>
      <w:lvlText w:val="•"/>
      <w:lvlJc w:val="left"/>
      <w:pPr>
        <w:ind w:left="3496" w:hanging="343"/>
      </w:pPr>
      <w:rPr>
        <w:rFonts w:hint="default"/>
      </w:rPr>
    </w:lvl>
    <w:lvl w:ilvl="5" w:tplc="928A21CE">
      <w:numFmt w:val="bullet"/>
      <w:lvlText w:val="•"/>
      <w:lvlJc w:val="left"/>
      <w:pPr>
        <w:ind w:left="4414" w:hanging="343"/>
      </w:pPr>
      <w:rPr>
        <w:rFonts w:hint="default"/>
      </w:rPr>
    </w:lvl>
    <w:lvl w:ilvl="6" w:tplc="5A54B37E">
      <w:numFmt w:val="bullet"/>
      <w:lvlText w:val="•"/>
      <w:lvlJc w:val="left"/>
      <w:pPr>
        <w:ind w:left="5332" w:hanging="343"/>
      </w:pPr>
      <w:rPr>
        <w:rFonts w:hint="default"/>
      </w:rPr>
    </w:lvl>
    <w:lvl w:ilvl="7" w:tplc="69BA9254">
      <w:numFmt w:val="bullet"/>
      <w:lvlText w:val="•"/>
      <w:lvlJc w:val="left"/>
      <w:pPr>
        <w:ind w:left="6250" w:hanging="343"/>
      </w:pPr>
      <w:rPr>
        <w:rFonts w:hint="default"/>
      </w:rPr>
    </w:lvl>
    <w:lvl w:ilvl="8" w:tplc="36E2C7AA">
      <w:numFmt w:val="bullet"/>
      <w:lvlText w:val="•"/>
      <w:lvlJc w:val="left"/>
      <w:pPr>
        <w:ind w:left="7169" w:hanging="343"/>
      </w:pPr>
      <w:rPr>
        <w:rFonts w:hint="default"/>
      </w:rPr>
    </w:lvl>
  </w:abstractNum>
  <w:abstractNum w:abstractNumId="1">
    <w:nsid w:val="33725F93"/>
    <w:multiLevelType w:val="hybridMultilevel"/>
    <w:tmpl w:val="6AA82DA2"/>
    <w:lvl w:ilvl="0" w:tplc="F8940000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2BE6"/>
    <w:multiLevelType w:val="hybridMultilevel"/>
    <w:tmpl w:val="9104ACF4"/>
    <w:lvl w:ilvl="0" w:tplc="D31EDFC8">
      <w:start w:val="12"/>
      <w:numFmt w:val="decimal"/>
      <w:lvlText w:val="%1."/>
      <w:lvlJc w:val="left"/>
      <w:pPr>
        <w:ind w:left="501" w:hanging="360"/>
      </w:pPr>
      <w:rPr>
        <w:rFonts w:hint="default"/>
        <w:color w:val="0F0F0F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7D57BD9"/>
    <w:multiLevelType w:val="hybridMultilevel"/>
    <w:tmpl w:val="2A9AA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37F51"/>
    <w:multiLevelType w:val="hybridMultilevel"/>
    <w:tmpl w:val="54E41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77341"/>
    <w:multiLevelType w:val="hybridMultilevel"/>
    <w:tmpl w:val="B46C1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79BD"/>
    <w:multiLevelType w:val="hybridMultilevel"/>
    <w:tmpl w:val="2DA0DE78"/>
    <w:lvl w:ilvl="0" w:tplc="372E6C7E">
      <w:numFmt w:val="bullet"/>
      <w:lvlText w:val="•"/>
      <w:lvlJc w:val="left"/>
      <w:pPr>
        <w:ind w:left="2538" w:hanging="2262"/>
      </w:pPr>
      <w:rPr>
        <w:rFonts w:ascii="Times New Roman" w:eastAsia="Times New Roman" w:hAnsi="Times New Roman" w:cs="Times New Roman" w:hint="default"/>
        <w:color w:val="345F97"/>
        <w:spacing w:val="-40"/>
        <w:w w:val="100"/>
        <w:position w:val="-44"/>
        <w:sz w:val="100"/>
        <w:szCs w:val="100"/>
      </w:rPr>
    </w:lvl>
    <w:lvl w:ilvl="1" w:tplc="ADEA79D0">
      <w:numFmt w:val="bullet"/>
      <w:lvlText w:val="•"/>
      <w:lvlJc w:val="left"/>
      <w:pPr>
        <w:ind w:left="2697" w:hanging="2262"/>
      </w:pPr>
      <w:rPr>
        <w:rFonts w:hint="default"/>
      </w:rPr>
    </w:lvl>
    <w:lvl w:ilvl="2" w:tplc="86863E70">
      <w:numFmt w:val="bullet"/>
      <w:lvlText w:val="•"/>
      <w:lvlJc w:val="left"/>
      <w:pPr>
        <w:ind w:left="2855" w:hanging="2262"/>
      </w:pPr>
      <w:rPr>
        <w:rFonts w:hint="default"/>
      </w:rPr>
    </w:lvl>
    <w:lvl w:ilvl="3" w:tplc="A91E5902">
      <w:numFmt w:val="bullet"/>
      <w:lvlText w:val="•"/>
      <w:lvlJc w:val="left"/>
      <w:pPr>
        <w:ind w:left="3013" w:hanging="2262"/>
      </w:pPr>
      <w:rPr>
        <w:rFonts w:hint="default"/>
      </w:rPr>
    </w:lvl>
    <w:lvl w:ilvl="4" w:tplc="201C351E">
      <w:numFmt w:val="bullet"/>
      <w:lvlText w:val="•"/>
      <w:lvlJc w:val="left"/>
      <w:pPr>
        <w:ind w:left="3171" w:hanging="2262"/>
      </w:pPr>
      <w:rPr>
        <w:rFonts w:hint="default"/>
      </w:rPr>
    </w:lvl>
    <w:lvl w:ilvl="5" w:tplc="481CE104">
      <w:numFmt w:val="bullet"/>
      <w:lvlText w:val="•"/>
      <w:lvlJc w:val="left"/>
      <w:pPr>
        <w:ind w:left="3329" w:hanging="2262"/>
      </w:pPr>
      <w:rPr>
        <w:rFonts w:hint="default"/>
      </w:rPr>
    </w:lvl>
    <w:lvl w:ilvl="6" w:tplc="0FCA27F2">
      <w:numFmt w:val="bullet"/>
      <w:lvlText w:val="•"/>
      <w:lvlJc w:val="left"/>
      <w:pPr>
        <w:ind w:left="3487" w:hanging="2262"/>
      </w:pPr>
      <w:rPr>
        <w:rFonts w:hint="default"/>
      </w:rPr>
    </w:lvl>
    <w:lvl w:ilvl="7" w:tplc="EC0AD6F6">
      <w:numFmt w:val="bullet"/>
      <w:lvlText w:val="•"/>
      <w:lvlJc w:val="left"/>
      <w:pPr>
        <w:ind w:left="3645" w:hanging="2262"/>
      </w:pPr>
      <w:rPr>
        <w:rFonts w:hint="default"/>
      </w:rPr>
    </w:lvl>
    <w:lvl w:ilvl="8" w:tplc="195EAFD6">
      <w:numFmt w:val="bullet"/>
      <w:lvlText w:val="•"/>
      <w:lvlJc w:val="left"/>
      <w:pPr>
        <w:ind w:left="3803" w:hanging="2262"/>
      </w:pPr>
      <w:rPr>
        <w:rFonts w:hint="default"/>
      </w:rPr>
    </w:lvl>
  </w:abstractNum>
  <w:abstractNum w:abstractNumId="7">
    <w:nsid w:val="6E5F015E"/>
    <w:multiLevelType w:val="hybridMultilevel"/>
    <w:tmpl w:val="D2B60940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7A0322D6"/>
    <w:multiLevelType w:val="hybridMultilevel"/>
    <w:tmpl w:val="57724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506A"/>
    <w:rsid w:val="00062499"/>
    <w:rsid w:val="00071A41"/>
    <w:rsid w:val="000916FF"/>
    <w:rsid w:val="0025692F"/>
    <w:rsid w:val="002F4DB0"/>
    <w:rsid w:val="00347CC3"/>
    <w:rsid w:val="00352151"/>
    <w:rsid w:val="005301D8"/>
    <w:rsid w:val="0057446F"/>
    <w:rsid w:val="005D4926"/>
    <w:rsid w:val="00623CE9"/>
    <w:rsid w:val="00721155"/>
    <w:rsid w:val="00775413"/>
    <w:rsid w:val="007D3D2E"/>
    <w:rsid w:val="008076E3"/>
    <w:rsid w:val="0087506A"/>
    <w:rsid w:val="0090142A"/>
    <w:rsid w:val="009943F2"/>
    <w:rsid w:val="00BF0FCF"/>
    <w:rsid w:val="00C0442F"/>
    <w:rsid w:val="00CD51D1"/>
    <w:rsid w:val="00D70168"/>
    <w:rsid w:val="00D94368"/>
    <w:rsid w:val="00E55CD7"/>
    <w:rsid w:val="00FC6039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2F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C0442F"/>
    <w:rPr>
      <w:sz w:val="23"/>
      <w:szCs w:val="23"/>
    </w:rPr>
  </w:style>
  <w:style w:type="paragraph" w:styleId="Odlomakpopisa">
    <w:name w:val="List Paragraph"/>
    <w:basedOn w:val="Normal"/>
    <w:uiPriority w:val="1"/>
    <w:qFormat/>
    <w:rsid w:val="00C0442F"/>
    <w:pPr>
      <w:ind w:left="128" w:hanging="2262"/>
    </w:pPr>
  </w:style>
  <w:style w:type="paragraph" w:customStyle="1" w:styleId="TableParagraph">
    <w:name w:val="Table Paragraph"/>
    <w:basedOn w:val="Normal"/>
    <w:uiPriority w:val="1"/>
    <w:qFormat/>
    <w:rsid w:val="00C0442F"/>
  </w:style>
  <w:style w:type="character" w:styleId="Hiperveza">
    <w:name w:val="Hyperlink"/>
    <w:basedOn w:val="Zadanifontodlomka"/>
    <w:uiPriority w:val="99"/>
    <w:unhideWhenUsed/>
    <w:rsid w:val="008076E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23CE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3CE9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23CE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3CE9"/>
    <w:rPr>
      <w:rFonts w:ascii="Calibri" w:eastAsia="Calibri" w:hAnsi="Calibri" w:cs="Calibri"/>
      <w:lang w:val="hr-HR"/>
    </w:rPr>
  </w:style>
  <w:style w:type="table" w:styleId="Reetkatablice">
    <w:name w:val="Table Grid"/>
    <w:basedOn w:val="Obinatablica"/>
    <w:uiPriority w:val="39"/>
    <w:unhideWhenUsed/>
    <w:rsid w:val="0062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Odlomakpopisa"/>
    <w:qFormat/>
    <w:rsid w:val="00E55CD7"/>
    <w:pPr>
      <w:numPr>
        <w:numId w:val="9"/>
      </w:numPr>
      <w:tabs>
        <w:tab w:val="num" w:pos="360"/>
      </w:tabs>
      <w:spacing w:before="120" w:after="120"/>
      <w:ind w:left="274" w:hanging="274"/>
      <w:jc w:val="both"/>
    </w:pPr>
    <w:rPr>
      <w:sz w:val="24"/>
      <w:lang w:eastAsia="hr-HR" w:bidi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5CD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D3D2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54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413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wp-content/uploads/2017/03/Prilog-1_-Op%C4%87i-uvjeti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ukturnifondovi.hr/wp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f.hr/operativni-progra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Jasmina Fabac</cp:lastModifiedBy>
  <cp:revision>5</cp:revision>
  <dcterms:created xsi:type="dcterms:W3CDTF">2019-06-20T21:58:00Z</dcterms:created>
  <dcterms:modified xsi:type="dcterms:W3CDTF">2019-06-21T08:45:00Z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2019-06-19T00:00:00Z</vt:filetime>
  </property>
</Properties>
</file>